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B955CD">
        <w:rPr>
          <w:rFonts w:asciiTheme="minorHAnsi" w:hAnsiTheme="minorHAnsi"/>
          <w:b/>
          <w:sz w:val="28"/>
          <w:szCs w:val="28"/>
        </w:rPr>
        <w:t xml:space="preserve">etonsteinpflaster </w:t>
      </w:r>
      <w:proofErr w:type="spellStart"/>
      <w:r w:rsidR="00B955CD">
        <w:rPr>
          <w:rFonts w:asciiTheme="minorHAnsi" w:hAnsiTheme="minorHAnsi"/>
          <w:b/>
          <w:sz w:val="28"/>
          <w:szCs w:val="28"/>
        </w:rPr>
        <w:t>Carre</w:t>
      </w:r>
      <w:proofErr w:type="spellEnd"/>
    </w:p>
    <w:p w:rsidR="008E325A" w:rsidRDefault="00432474" w:rsidP="00F73BA6">
      <w:pPr>
        <w:spacing w:after="120"/>
        <w:rPr>
          <w:rFonts w:asciiTheme="minorHAnsi" w:hAnsiTheme="minorHAnsi"/>
          <w:b/>
          <w:sz w:val="24"/>
          <w:szCs w:val="22"/>
          <w:shd w:val="clear" w:color="auto" w:fill="D9D9D9" w:themeFill="background1" w:themeFillShade="D9"/>
        </w:rPr>
      </w:pPr>
      <w:r w:rsidRPr="00432474">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proofErr w:type="spellStart"/>
            <w:r w:rsidR="0092622F">
              <w:rPr>
                <w:rFonts w:ascii="Calibri" w:eastAsia="Times New Roman" w:hAnsi="Calibri" w:cs="Times New Roman"/>
                <w:color w:val="000000"/>
                <w:sz w:val="18"/>
                <w:szCs w:val="18"/>
                <w:lang w:eastAsia="de-DE"/>
              </w:rPr>
              <w:t>Microfase</w:t>
            </w:r>
            <w:proofErr w:type="spellEnd"/>
            <w:r w:rsidR="0092622F">
              <w:rPr>
                <w:rFonts w:ascii="Calibri" w:eastAsia="Times New Roman" w:hAnsi="Calibri" w:cs="Times New Roman"/>
                <w:color w:val="000000"/>
                <w:sz w:val="18"/>
                <w:szCs w:val="18"/>
                <w:lang w:eastAsia="de-DE"/>
              </w:rPr>
              <w:t xml:space="preserve"> </w:t>
            </w:r>
            <w:r w:rsidR="00C44A65">
              <w:rPr>
                <w:rFonts w:ascii="Calibri" w:eastAsia="Times New Roman" w:hAnsi="Calibri" w:cs="Times New Roman"/>
                <w:color w:val="000000"/>
                <w:sz w:val="18"/>
                <w:szCs w:val="18"/>
                <w:lang w:eastAsia="de-DE"/>
              </w:rPr>
              <w:t xml:space="preserve">und </w:t>
            </w:r>
            <w:r w:rsidR="0092622F">
              <w:rPr>
                <w:rFonts w:ascii="Calibri" w:eastAsia="Times New Roman" w:hAnsi="Calibri" w:cs="Times New Roman"/>
                <w:color w:val="000000"/>
                <w:sz w:val="18"/>
                <w:szCs w:val="18"/>
                <w:lang w:eastAsia="de-DE"/>
              </w:rPr>
              <w:t xml:space="preserve">Verschiebesicherung durch </w:t>
            </w:r>
            <w:proofErr w:type="spellStart"/>
            <w:r w:rsidR="0092622F">
              <w:rPr>
                <w:rFonts w:ascii="Calibri" w:eastAsia="Times New Roman" w:hAnsi="Calibri" w:cs="Times New Roman"/>
                <w:color w:val="000000"/>
                <w:sz w:val="18"/>
                <w:szCs w:val="18"/>
                <w:lang w:eastAsia="de-DE"/>
              </w:rPr>
              <w:t>angeformte</w:t>
            </w:r>
            <w:proofErr w:type="spellEnd"/>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r w:rsidR="00FD7594">
              <w:rPr>
                <w:rFonts w:ascii="Calibri" w:eastAsia="Times New Roman" w:hAnsi="Calibri" w:cs="Times New Roman"/>
                <w:color w:val="000000"/>
                <w:sz w:val="18"/>
                <w:szCs w:val="18"/>
                <w:lang w:eastAsia="de-DE"/>
              </w:rPr>
              <w:t>Abstandhalter</w:t>
            </w:r>
            <w:r w:rsidR="003712F9">
              <w:rPr>
                <w:rFonts w:ascii="Calibri" w:eastAsia="Times New Roman" w:hAnsi="Calibri" w:cs="Times New Roman"/>
                <w:color w:val="000000"/>
                <w:sz w:val="18"/>
                <w:szCs w:val="18"/>
                <w:lang w:eastAsia="de-DE"/>
              </w:rPr>
              <w:t xml:space="preserve"> an vier Steinseiten,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 w:edGrp="everyone"/>
            <w:r>
              <w:rPr>
                <w:rFonts w:ascii="Calibri" w:eastAsia="Times New Roman" w:hAnsi="Calibri" w:cs="Times New Roman"/>
                <w:color w:val="000000"/>
                <w:sz w:val="18"/>
                <w:szCs w:val="18"/>
                <w:lang w:eastAsia="de-DE"/>
              </w:rPr>
              <w:t>___ mm</w:t>
            </w:r>
          </w:p>
          <w:permEnd w:id="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5" w:edGrp="everyone"/>
            <w:r>
              <w:rPr>
                <w:rFonts w:ascii="Calibri" w:eastAsia="Times New Roman" w:hAnsi="Calibri" w:cs="Times New Roman"/>
                <w:color w:val="000000"/>
                <w:sz w:val="18"/>
                <w:szCs w:val="18"/>
                <w:lang w:eastAsia="de-DE"/>
              </w:rPr>
              <w:t xml:space="preserve">  ________mm_</w:t>
            </w:r>
            <w:permEnd w:id="5"/>
            <w:r w:rsidR="00473B1A">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bzw.</w:t>
            </w:r>
            <w:permStart w:id="6" w:edGrp="everyone"/>
            <w:r>
              <w:rPr>
                <w:rFonts w:ascii="Calibri" w:eastAsia="Times New Roman" w:hAnsi="Calibri" w:cs="Times New Roman"/>
                <w:color w:val="000000"/>
                <w:sz w:val="18"/>
                <w:szCs w:val="18"/>
                <w:lang w:eastAsia="de-DE"/>
              </w:rPr>
              <w:t xml:space="preserve"> _________</w:t>
            </w:r>
            <w:permEnd w:id="6"/>
            <w:r>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xml:space="preserve"> </w:t>
            </w:r>
            <w:r w:rsidR="009C1200">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(Halbstein)</w:t>
            </w:r>
          </w:p>
          <w:p w:rsidR="009C1200"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Carre</w:t>
            </w:r>
            <w:proofErr w:type="spellEnd"/>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fluchtgerecht  im Verband, </w:t>
            </w:r>
            <w:proofErr w:type="spellStart"/>
            <w:r>
              <w:rPr>
                <w:rFonts w:ascii="Calibri" w:eastAsia="Times New Roman" w:hAnsi="Calibri" w:cs="Times New Roman"/>
                <w:color w:val="000000"/>
                <w:sz w:val="18"/>
                <w:szCs w:val="18"/>
                <w:lang w:eastAsia="de-DE"/>
              </w:rPr>
              <w:t>ggf</w:t>
            </w:r>
            <w:proofErr w:type="spellEnd"/>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 – 5 mm</w:t>
            </w: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3712F9" w:rsidRDefault="003712F9" w:rsidP="001D5D58">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7" w:edGrp="everyone"/>
            <w:permEnd w:id="7"/>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8" w:edGrp="everyone"/>
            <w:permEnd w:id="8"/>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9" w:edGrp="everyone"/>
      <w:permEnd w:id="9"/>
    </w:p>
    <w:p w:rsidR="0086125A" w:rsidRPr="00764D48" w:rsidRDefault="0086125A" w:rsidP="0086125A">
      <w:pPr>
        <w:spacing w:after="120"/>
        <w:rPr>
          <w:rFonts w:asciiTheme="minorHAnsi" w:hAnsiTheme="minorHAnsi"/>
          <w:b/>
          <w:sz w:val="18"/>
          <w:szCs w:val="18"/>
          <w:u w:val="single"/>
        </w:rPr>
      </w:pPr>
      <w:permStart w:id="10" w:edGrp="everyone"/>
      <w:permEnd w:id="10"/>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FA6AA7" w:rsidRDefault="005D5097" w:rsidP="005D5097">
      <w:pPr>
        <w:spacing w:after="120"/>
        <w:rPr>
          <w:rFonts w:asciiTheme="minorHAnsi" w:hAnsiTheme="minorHAnsi"/>
          <w:sz w:val="18"/>
          <w:szCs w:val="18"/>
        </w:rPr>
      </w:pPr>
      <w:r>
        <w:rPr>
          <w:rFonts w:asciiTheme="minorHAnsi" w:hAnsiTheme="minorHAnsi"/>
          <w:sz w:val="18"/>
          <w:szCs w:val="18"/>
        </w:rPr>
        <w:t xml:space="preserve">  80 mm</w:t>
      </w:r>
    </w:p>
    <w:p w:rsidR="005D5097" w:rsidRDefault="005D5097" w:rsidP="00FA6AA7">
      <w:pPr>
        <w:spacing w:after="120"/>
        <w:rPr>
          <w:rFonts w:asciiTheme="minorHAnsi" w:hAnsiTheme="minorHAnsi"/>
          <w:sz w:val="18"/>
          <w:szCs w:val="18"/>
        </w:rPr>
      </w:pPr>
      <w:r>
        <w:rPr>
          <w:rFonts w:asciiTheme="minorHAnsi" w:hAnsiTheme="minorHAnsi"/>
          <w:sz w:val="18"/>
          <w:szCs w:val="18"/>
        </w:rPr>
        <w:t>100 mm</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rsidR="00FA6AA7" w:rsidRDefault="00FD7594" w:rsidP="00FA6AA7">
      <w:pPr>
        <w:spacing w:after="120"/>
        <w:rPr>
          <w:rFonts w:asciiTheme="minorHAnsi" w:hAnsiTheme="minorHAnsi"/>
          <w:sz w:val="18"/>
          <w:szCs w:val="18"/>
        </w:rPr>
      </w:pPr>
      <w:r>
        <w:rPr>
          <w:rFonts w:asciiTheme="minorHAnsi" w:hAnsiTheme="minorHAnsi"/>
          <w:sz w:val="18"/>
          <w:szCs w:val="18"/>
        </w:rPr>
        <w:t>200 x 100</w:t>
      </w:r>
      <w:r w:rsidR="00DB6005">
        <w:rPr>
          <w:rFonts w:asciiTheme="minorHAnsi" w:hAnsiTheme="minorHAnsi"/>
          <w:sz w:val="18"/>
          <w:szCs w:val="18"/>
        </w:rPr>
        <w:t xml:space="preserve"> mm</w:t>
      </w:r>
      <w:r w:rsidR="00DB6005">
        <w:rPr>
          <w:rFonts w:asciiTheme="minorHAnsi" w:hAnsiTheme="minorHAnsi"/>
          <w:sz w:val="18"/>
          <w:szCs w:val="18"/>
        </w:rPr>
        <w:tab/>
      </w:r>
      <w:r w:rsidR="00DB6005">
        <w:rPr>
          <w:rFonts w:asciiTheme="minorHAnsi" w:hAnsiTheme="minorHAnsi"/>
          <w:sz w:val="18"/>
          <w:szCs w:val="18"/>
        </w:rPr>
        <w:tab/>
      </w:r>
      <w:r>
        <w:rPr>
          <w:rFonts w:asciiTheme="minorHAnsi" w:hAnsiTheme="minorHAnsi"/>
          <w:sz w:val="18"/>
          <w:szCs w:val="18"/>
        </w:rPr>
        <w:t xml:space="preserve"> 1</w:t>
      </w:r>
      <w:r w:rsidR="00DB6005">
        <w:rPr>
          <w:rFonts w:asciiTheme="minorHAnsi" w:hAnsiTheme="minorHAnsi"/>
          <w:sz w:val="18"/>
          <w:szCs w:val="18"/>
        </w:rPr>
        <w:t>96</w:t>
      </w:r>
      <w:r>
        <w:rPr>
          <w:rFonts w:asciiTheme="minorHAnsi" w:hAnsiTheme="minorHAnsi"/>
          <w:sz w:val="18"/>
          <w:szCs w:val="18"/>
        </w:rPr>
        <w:t xml:space="preserve"> x </w:t>
      </w:r>
      <w:r w:rsidR="0050416D">
        <w:rPr>
          <w:rFonts w:asciiTheme="minorHAnsi" w:hAnsiTheme="minorHAnsi"/>
          <w:sz w:val="18"/>
          <w:szCs w:val="18"/>
        </w:rPr>
        <w:t>96</w:t>
      </w:r>
      <w:r w:rsidR="00FA6AA7">
        <w:rPr>
          <w:rFonts w:asciiTheme="minorHAnsi" w:hAnsiTheme="minorHAnsi"/>
          <w:sz w:val="18"/>
          <w:szCs w:val="18"/>
        </w:rPr>
        <w:t xml:space="preserve"> mm</w:t>
      </w:r>
    </w:p>
    <w:p w:rsidR="00FA6AA7" w:rsidRDefault="0050416D" w:rsidP="00FA6AA7">
      <w:pPr>
        <w:spacing w:after="120"/>
        <w:rPr>
          <w:rFonts w:asciiTheme="minorHAnsi" w:hAnsiTheme="minorHAnsi"/>
          <w:sz w:val="18"/>
          <w:szCs w:val="18"/>
        </w:rPr>
      </w:pPr>
      <w:r>
        <w:rPr>
          <w:rFonts w:asciiTheme="minorHAnsi" w:hAnsiTheme="minorHAnsi"/>
          <w:sz w:val="18"/>
          <w:szCs w:val="18"/>
        </w:rPr>
        <w:t>200 x 200 mm</w:t>
      </w:r>
      <w:r>
        <w:rPr>
          <w:rFonts w:asciiTheme="minorHAnsi" w:hAnsiTheme="minorHAnsi"/>
          <w:sz w:val="18"/>
          <w:szCs w:val="18"/>
        </w:rPr>
        <w:tab/>
      </w:r>
      <w:r>
        <w:rPr>
          <w:rFonts w:asciiTheme="minorHAnsi" w:hAnsiTheme="minorHAnsi"/>
          <w:sz w:val="18"/>
          <w:szCs w:val="18"/>
        </w:rPr>
        <w:tab/>
        <w:t>196 x 196</w:t>
      </w:r>
      <w:r w:rsidR="00FA6AA7">
        <w:rPr>
          <w:rFonts w:asciiTheme="minorHAnsi" w:hAnsiTheme="minorHAnsi"/>
          <w:sz w:val="18"/>
          <w:szCs w:val="18"/>
        </w:rPr>
        <w:t xml:space="preserve"> mm</w:t>
      </w:r>
    </w:p>
    <w:p w:rsidR="0050416D" w:rsidRDefault="00FD7594" w:rsidP="00FA6AA7">
      <w:pPr>
        <w:spacing w:after="120"/>
        <w:rPr>
          <w:rFonts w:asciiTheme="minorHAnsi" w:hAnsiTheme="minorHAnsi"/>
          <w:sz w:val="18"/>
          <w:szCs w:val="18"/>
        </w:rPr>
      </w:pPr>
      <w:r>
        <w:rPr>
          <w:rFonts w:asciiTheme="minorHAnsi" w:hAnsiTheme="minorHAnsi"/>
          <w:sz w:val="18"/>
          <w:szCs w:val="18"/>
        </w:rPr>
        <w:t>300 x 200 mm</w:t>
      </w:r>
      <w:r>
        <w:rPr>
          <w:rFonts w:asciiTheme="minorHAnsi" w:hAnsiTheme="minorHAnsi"/>
          <w:sz w:val="18"/>
          <w:szCs w:val="18"/>
        </w:rPr>
        <w:tab/>
      </w:r>
      <w:r>
        <w:rPr>
          <w:rFonts w:asciiTheme="minorHAnsi" w:hAnsiTheme="minorHAnsi"/>
          <w:sz w:val="18"/>
          <w:szCs w:val="18"/>
        </w:rPr>
        <w:tab/>
        <w:t>296 x 1</w:t>
      </w:r>
      <w:r w:rsidR="0050416D">
        <w:rPr>
          <w:rFonts w:asciiTheme="minorHAnsi" w:hAnsiTheme="minorHAnsi"/>
          <w:sz w:val="18"/>
          <w:szCs w:val="18"/>
        </w:rPr>
        <w:t>96 mm</w:t>
      </w:r>
    </w:p>
    <w:p w:rsidR="0050416D" w:rsidRDefault="00FD7594" w:rsidP="00FA6AA7">
      <w:pPr>
        <w:spacing w:after="120"/>
        <w:rPr>
          <w:rFonts w:asciiTheme="minorHAnsi" w:hAnsiTheme="minorHAnsi"/>
          <w:sz w:val="18"/>
          <w:szCs w:val="18"/>
        </w:rPr>
      </w:pPr>
      <w:r>
        <w:rPr>
          <w:rFonts w:asciiTheme="minorHAnsi" w:hAnsiTheme="minorHAnsi"/>
          <w:sz w:val="18"/>
          <w:szCs w:val="18"/>
        </w:rPr>
        <w:t>300 x 150 mm</w:t>
      </w:r>
      <w:r>
        <w:rPr>
          <w:rFonts w:asciiTheme="minorHAnsi" w:hAnsiTheme="minorHAnsi"/>
          <w:sz w:val="18"/>
          <w:szCs w:val="18"/>
        </w:rPr>
        <w:tab/>
      </w:r>
      <w:r>
        <w:rPr>
          <w:rFonts w:asciiTheme="minorHAnsi" w:hAnsiTheme="minorHAnsi"/>
          <w:sz w:val="18"/>
          <w:szCs w:val="18"/>
        </w:rPr>
        <w:tab/>
        <w:t>296 x 146</w:t>
      </w:r>
      <w:r w:rsidR="0050416D">
        <w:rPr>
          <w:rFonts w:asciiTheme="minorHAnsi" w:hAnsiTheme="minorHAnsi"/>
          <w:sz w:val="18"/>
          <w:szCs w:val="18"/>
        </w:rPr>
        <w:t xml:space="preserve"> mm</w:t>
      </w:r>
    </w:p>
    <w:p w:rsidR="0050416D" w:rsidRDefault="00FD7594" w:rsidP="00FA6AA7">
      <w:pPr>
        <w:spacing w:after="120"/>
        <w:rPr>
          <w:rFonts w:asciiTheme="minorHAnsi" w:hAnsiTheme="minorHAnsi"/>
          <w:sz w:val="18"/>
          <w:szCs w:val="18"/>
        </w:rPr>
      </w:pPr>
      <w:r>
        <w:rPr>
          <w:rFonts w:asciiTheme="minorHAnsi" w:hAnsiTheme="minorHAnsi"/>
          <w:sz w:val="18"/>
          <w:szCs w:val="18"/>
        </w:rPr>
        <w:t>300 x 300 mm</w:t>
      </w:r>
      <w:r>
        <w:rPr>
          <w:rFonts w:asciiTheme="minorHAnsi" w:hAnsiTheme="minorHAnsi"/>
          <w:sz w:val="18"/>
          <w:szCs w:val="18"/>
        </w:rPr>
        <w:tab/>
      </w:r>
      <w:r>
        <w:rPr>
          <w:rFonts w:asciiTheme="minorHAnsi" w:hAnsiTheme="minorHAnsi"/>
          <w:sz w:val="18"/>
          <w:szCs w:val="18"/>
        </w:rPr>
        <w:tab/>
        <w:t>296 x 296</w:t>
      </w:r>
      <w:r w:rsidR="0050416D">
        <w:rPr>
          <w:rFonts w:asciiTheme="minorHAnsi" w:hAnsiTheme="minorHAnsi"/>
          <w:sz w:val="18"/>
          <w:szCs w:val="18"/>
        </w:rPr>
        <w:t xml:space="preserve"> mm</w:t>
      </w:r>
    </w:p>
    <w:p w:rsidR="0050416D" w:rsidRDefault="00FD7594" w:rsidP="00FA6AA7">
      <w:pPr>
        <w:spacing w:after="120"/>
        <w:rPr>
          <w:rFonts w:asciiTheme="minorHAnsi" w:hAnsiTheme="minorHAnsi"/>
          <w:sz w:val="18"/>
          <w:szCs w:val="18"/>
        </w:rPr>
      </w:pPr>
      <w:r>
        <w:rPr>
          <w:rFonts w:asciiTheme="minorHAnsi" w:hAnsiTheme="minorHAnsi"/>
          <w:sz w:val="18"/>
          <w:szCs w:val="18"/>
        </w:rPr>
        <w:t>400 x 200 mm</w:t>
      </w:r>
      <w:r>
        <w:rPr>
          <w:rFonts w:asciiTheme="minorHAnsi" w:hAnsiTheme="minorHAnsi"/>
          <w:sz w:val="18"/>
          <w:szCs w:val="18"/>
        </w:rPr>
        <w:tab/>
      </w:r>
      <w:r>
        <w:rPr>
          <w:rFonts w:asciiTheme="minorHAnsi" w:hAnsiTheme="minorHAnsi"/>
          <w:sz w:val="18"/>
          <w:szCs w:val="18"/>
        </w:rPr>
        <w:tab/>
        <w:t>396 x 19</w:t>
      </w:r>
      <w:r w:rsidR="0050416D">
        <w:rPr>
          <w:rFonts w:asciiTheme="minorHAnsi" w:hAnsiTheme="minorHAnsi"/>
          <w:sz w:val="18"/>
          <w:szCs w:val="18"/>
        </w:rPr>
        <w:t>6 mm</w:t>
      </w:r>
    </w:p>
    <w:p w:rsidR="00E644DE" w:rsidRDefault="00E644DE" w:rsidP="00FA6AA7">
      <w:pPr>
        <w:spacing w:after="120"/>
        <w:rPr>
          <w:rFonts w:asciiTheme="minorHAnsi" w:hAnsiTheme="minorHAnsi"/>
          <w:sz w:val="18"/>
          <w:szCs w:val="18"/>
        </w:rPr>
      </w:pPr>
    </w:p>
    <w:p w:rsidR="00E644DE" w:rsidRDefault="00E644DE" w:rsidP="00FA6AA7">
      <w:pPr>
        <w:spacing w:after="120"/>
        <w:rPr>
          <w:rFonts w:asciiTheme="minorHAnsi" w:hAnsiTheme="minorHAnsi"/>
          <w:sz w:val="18"/>
          <w:szCs w:val="18"/>
          <w:u w:val="single"/>
        </w:rPr>
      </w:pP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DB6005">
        <w:rPr>
          <w:rFonts w:asciiTheme="minorHAnsi" w:hAnsiTheme="minorHAnsi"/>
          <w:sz w:val="18"/>
          <w:szCs w:val="18"/>
        </w:rPr>
        <w:t>, anthrazit, rot</w:t>
      </w:r>
    </w:p>
    <w:p w:rsidR="005D5097" w:rsidRPr="00764D48" w:rsidRDefault="005D5097" w:rsidP="00FA6AA7">
      <w:pPr>
        <w:spacing w:after="120"/>
        <w:rPr>
          <w:rFonts w:asciiTheme="minorHAnsi" w:hAnsiTheme="minorHAnsi"/>
          <w:b/>
          <w:sz w:val="18"/>
          <w:szCs w:val="18"/>
          <w:u w:val="single"/>
        </w:rPr>
      </w:pPr>
      <w:r w:rsidRPr="00764D48">
        <w:rPr>
          <w:rFonts w:asciiTheme="minorHAnsi" w:hAnsiTheme="minorHAnsi"/>
          <w:b/>
          <w:sz w:val="18"/>
          <w:szCs w:val="18"/>
          <w:u w:val="single"/>
        </w:rPr>
        <w:t>Edelvorsätze kugelgestrahlt:</w:t>
      </w:r>
    </w:p>
    <w:p w:rsidR="005D5097" w:rsidRPr="005D5097" w:rsidRDefault="005D5097" w:rsidP="00FA6AA7">
      <w:pPr>
        <w:spacing w:after="120"/>
        <w:rPr>
          <w:rFonts w:asciiTheme="minorHAnsi" w:hAnsiTheme="minorHAnsi"/>
          <w:sz w:val="18"/>
          <w:szCs w:val="18"/>
        </w:rPr>
      </w:pPr>
      <w:r>
        <w:rPr>
          <w:rFonts w:asciiTheme="minorHAnsi" w:hAnsiTheme="minorHAnsi"/>
          <w:sz w:val="18"/>
          <w:szCs w:val="18"/>
        </w:rPr>
        <w:t xml:space="preserve">Diamantweiß, </w:t>
      </w:r>
      <w:proofErr w:type="spellStart"/>
      <w:r>
        <w:rPr>
          <w:rFonts w:asciiTheme="minorHAnsi" w:hAnsiTheme="minorHAnsi"/>
          <w:sz w:val="18"/>
          <w:szCs w:val="18"/>
        </w:rPr>
        <w:t>silber</w:t>
      </w:r>
      <w:proofErr w:type="spellEnd"/>
      <w:r>
        <w:rPr>
          <w:rFonts w:asciiTheme="minorHAnsi" w:hAnsiTheme="minorHAnsi"/>
          <w:sz w:val="18"/>
          <w:szCs w:val="18"/>
        </w:rPr>
        <w:t>, kobaltschwarz</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Farbvariationen:</w:t>
      </w:r>
    </w:p>
    <w:p w:rsidR="005D5097" w:rsidRDefault="005D5097" w:rsidP="00FA6AA7">
      <w:pPr>
        <w:spacing w:after="120"/>
        <w:rPr>
          <w:rFonts w:asciiTheme="minorHAnsi" w:hAnsiTheme="minorHAnsi"/>
          <w:sz w:val="18"/>
          <w:szCs w:val="18"/>
        </w:rPr>
      </w:pPr>
      <w:proofErr w:type="spellStart"/>
      <w:r>
        <w:rPr>
          <w:rFonts w:asciiTheme="minorHAnsi" w:hAnsiTheme="minorHAnsi"/>
          <w:sz w:val="18"/>
          <w:szCs w:val="18"/>
        </w:rPr>
        <w:t>Terraschattiert</w:t>
      </w:r>
      <w:proofErr w:type="spellEnd"/>
      <w:r>
        <w:rPr>
          <w:rFonts w:asciiTheme="minorHAnsi" w:hAnsiTheme="minorHAnsi"/>
          <w:sz w:val="18"/>
          <w:szCs w:val="18"/>
        </w:rPr>
        <w:t xml:space="preserve">, grau-schwarz-meliert, marmoriert, </w:t>
      </w:r>
      <w:proofErr w:type="spellStart"/>
      <w:r>
        <w:rPr>
          <w:rFonts w:asciiTheme="minorHAnsi" w:hAnsiTheme="minorHAnsi"/>
          <w:sz w:val="18"/>
          <w:szCs w:val="18"/>
        </w:rPr>
        <w:t>muschelkalk</w:t>
      </w:r>
      <w:proofErr w:type="spellEnd"/>
      <w:r>
        <w:rPr>
          <w:rFonts w:asciiTheme="minorHAnsi" w:hAnsiTheme="minorHAnsi"/>
          <w:sz w:val="18"/>
          <w:szCs w:val="18"/>
        </w:rPr>
        <w:t xml:space="preserve">, weiß-grau-meliert, </w:t>
      </w:r>
      <w:proofErr w:type="spellStart"/>
      <w:r>
        <w:rPr>
          <w:rFonts w:asciiTheme="minorHAnsi" w:hAnsiTheme="minorHAnsi"/>
          <w:sz w:val="18"/>
          <w:szCs w:val="18"/>
        </w:rPr>
        <w:t>sandstein</w:t>
      </w:r>
      <w:proofErr w:type="spellEnd"/>
    </w:p>
    <w:p w:rsidR="005D5097" w:rsidRPr="005D5097" w:rsidRDefault="005D5097" w:rsidP="00FA6AA7">
      <w:pPr>
        <w:spacing w:after="120"/>
        <w:rPr>
          <w:rFonts w:asciiTheme="minorHAnsi" w:hAnsiTheme="minorHAnsi"/>
          <w:sz w:val="18"/>
          <w:szCs w:val="18"/>
        </w:rPr>
      </w:pPr>
      <w:r>
        <w:rPr>
          <w:rFonts w:asciiTheme="minorHAnsi" w:hAnsiTheme="minorHAnsi"/>
          <w:sz w:val="18"/>
          <w:szCs w:val="18"/>
        </w:rPr>
        <w:t>Weitere Farben und Oberflächen 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1" w:edGrp="everyone"/>
      <w:permEnd w:id="11"/>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097" w:rsidRDefault="005D5097" w:rsidP="002B3561">
      <w:pPr>
        <w:spacing w:after="0" w:line="240" w:lineRule="auto"/>
      </w:pPr>
      <w:r>
        <w:separator/>
      </w:r>
    </w:p>
  </w:endnote>
  <w:endnote w:type="continuationSeparator" w:id="0">
    <w:p w:rsidR="005D5097" w:rsidRDefault="005D5097"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097" w:rsidRDefault="005D5097" w:rsidP="002B3561">
      <w:pPr>
        <w:spacing w:after="0" w:line="240" w:lineRule="auto"/>
      </w:pPr>
      <w:r>
        <w:separator/>
      </w:r>
    </w:p>
  </w:footnote>
  <w:footnote w:type="continuationSeparator" w:id="0">
    <w:p w:rsidR="005D5097" w:rsidRDefault="005D5097"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97" w:rsidRDefault="00432474"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5D5097" w:rsidRPr="000521B1" w:rsidRDefault="005D5097">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5D5097">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5D5097" w:rsidRPr="000521B1" w:rsidRDefault="005D5097"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5D5097" w:rsidRPr="000521B1" w:rsidRDefault="005D5097"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5D5097" w:rsidRPr="000521B1" w:rsidRDefault="005D5097"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5D5097" w:rsidRPr="000521B1" w:rsidRDefault="005D5097"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5D5097" w:rsidRDefault="00432474" w:rsidP="005423A3">
    <w:pPr>
      <w:spacing w:after="0" w:line="240" w:lineRule="auto"/>
      <w:ind w:left="7082"/>
      <w:contextualSpacing/>
      <w:rPr>
        <w:rFonts w:asciiTheme="minorHAnsi" w:hAnsiTheme="minorHAnsi"/>
        <w:sz w:val="12"/>
        <w:szCs w:val="12"/>
      </w:rPr>
    </w:pPr>
    <w:hyperlink r:id="rId2" w:history="1">
      <w:r w:rsidR="005D5097" w:rsidRPr="009C7697">
        <w:rPr>
          <w:rStyle w:val="Hyperlink"/>
          <w:rFonts w:asciiTheme="minorHAnsi" w:hAnsiTheme="minorHAnsi"/>
          <w:sz w:val="12"/>
          <w:szCs w:val="12"/>
        </w:rPr>
        <w:t>www.linden-beton.de</w:t>
      </w:r>
    </w:hyperlink>
  </w:p>
  <w:p w:rsidR="005D5097" w:rsidRDefault="005D5097">
    <w:pPr>
      <w:pStyle w:val="Kopfzeile"/>
    </w:pPr>
  </w:p>
  <w:p w:rsidR="005D5097" w:rsidRPr="002B3561" w:rsidRDefault="005D5097"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VquHdtgmx8gb9q9whxF938bWW6w=" w:salt="bFzjnRs+lq29/bTYSNYvVw=="/>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1802E3"/>
    <w:rsid w:val="001874AE"/>
    <w:rsid w:val="00187E03"/>
    <w:rsid w:val="001B3D56"/>
    <w:rsid w:val="001C542F"/>
    <w:rsid w:val="001D5D58"/>
    <w:rsid w:val="001E08C9"/>
    <w:rsid w:val="001F1CC7"/>
    <w:rsid w:val="00263BF2"/>
    <w:rsid w:val="0027497D"/>
    <w:rsid w:val="002B3561"/>
    <w:rsid w:val="003712F9"/>
    <w:rsid w:val="00386D56"/>
    <w:rsid w:val="003B34CD"/>
    <w:rsid w:val="003B4636"/>
    <w:rsid w:val="003F5CC1"/>
    <w:rsid w:val="00432474"/>
    <w:rsid w:val="00473B1A"/>
    <w:rsid w:val="00492C96"/>
    <w:rsid w:val="0049667A"/>
    <w:rsid w:val="0050416D"/>
    <w:rsid w:val="005423A3"/>
    <w:rsid w:val="00543B17"/>
    <w:rsid w:val="005D5097"/>
    <w:rsid w:val="005D6C7C"/>
    <w:rsid w:val="00654CA9"/>
    <w:rsid w:val="006A423A"/>
    <w:rsid w:val="006F1379"/>
    <w:rsid w:val="00725284"/>
    <w:rsid w:val="00764D48"/>
    <w:rsid w:val="007B2986"/>
    <w:rsid w:val="00860651"/>
    <w:rsid w:val="0086125A"/>
    <w:rsid w:val="0088570E"/>
    <w:rsid w:val="008E325A"/>
    <w:rsid w:val="008F7E00"/>
    <w:rsid w:val="0092622F"/>
    <w:rsid w:val="009268D1"/>
    <w:rsid w:val="009B57B1"/>
    <w:rsid w:val="009B7C17"/>
    <w:rsid w:val="009C1200"/>
    <w:rsid w:val="00B70AA9"/>
    <w:rsid w:val="00B82AC1"/>
    <w:rsid w:val="00B955CD"/>
    <w:rsid w:val="00BF6B56"/>
    <w:rsid w:val="00C0506E"/>
    <w:rsid w:val="00C40832"/>
    <w:rsid w:val="00C43DF0"/>
    <w:rsid w:val="00C44A65"/>
    <w:rsid w:val="00C61C98"/>
    <w:rsid w:val="00CB4845"/>
    <w:rsid w:val="00D84346"/>
    <w:rsid w:val="00DB6005"/>
    <w:rsid w:val="00E644DE"/>
    <w:rsid w:val="00F206D1"/>
    <w:rsid w:val="00F32904"/>
    <w:rsid w:val="00F3311E"/>
    <w:rsid w:val="00F73BA6"/>
    <w:rsid w:val="00FA11E9"/>
    <w:rsid w:val="00FA6AA7"/>
    <w:rsid w:val="00FD25D2"/>
    <w:rsid w:val="00FD75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11F84-F06C-4811-9AE1-DE959C61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573</Words>
  <Characters>3610</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RBrandstetter</cp:lastModifiedBy>
  <cp:revision>5</cp:revision>
  <cp:lastPrinted>2017-01-23T07:42:00Z</cp:lastPrinted>
  <dcterms:created xsi:type="dcterms:W3CDTF">2017-01-23T08:21:00Z</dcterms:created>
  <dcterms:modified xsi:type="dcterms:W3CDTF">2018-03-05T15:03:00Z</dcterms:modified>
</cp:coreProperties>
</file>